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83BB5FE" w14:textId="77777777" w:rsidTr="0041512A">
        <w:tc>
          <w:tcPr>
            <w:tcW w:w="2263" w:type="dxa"/>
          </w:tcPr>
          <w:p w14:paraId="0374C31A" w14:textId="64E6F1A8" w:rsidR="0041512A" w:rsidRDefault="008C7907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5A1687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16D6881" w14:textId="77777777" w:rsidR="0041512A" w:rsidRDefault="001175F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Giochi leciti presso esercizi pubblici</w:t>
            </w:r>
          </w:p>
        </w:tc>
        <w:tc>
          <w:tcPr>
            <w:tcW w:w="1979" w:type="dxa"/>
          </w:tcPr>
          <w:p w14:paraId="4D4EEF36" w14:textId="6F4B99B2" w:rsidR="0041512A" w:rsidRPr="0041512A" w:rsidRDefault="00676AD5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EC6637F" w14:textId="77777777" w:rsidTr="0041512A">
        <w:tc>
          <w:tcPr>
            <w:tcW w:w="9629" w:type="dxa"/>
            <w:gridSpan w:val="3"/>
          </w:tcPr>
          <w:p w14:paraId="55C1C722" w14:textId="28EF12FB" w:rsidR="00F33A15" w:rsidRPr="00A30163" w:rsidRDefault="00A3016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A30163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60158D8" w14:textId="77777777" w:rsidR="001175FE" w:rsidRPr="001175FE" w:rsidRDefault="001175FE" w:rsidP="001175FE">
            <w:pPr>
              <w:pStyle w:val="NormaleWeb"/>
              <w:spacing w:before="0" w:beforeAutospacing="0" w:after="12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l gioco lecito può essere esercitato, all'interno di esercizi pubblici di somministrazione o di circoli privati, soltanto previo rilascio di una licenza, ai sensi dell'art. 86 del </w:t>
            </w:r>
            <w:proofErr w:type="spellStart"/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Tulps</w:t>
            </w:r>
            <w:proofErr w:type="spellEnd"/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7CBA02BF" w14:textId="1594D651" w:rsidR="001175FE" w:rsidRPr="001175FE" w:rsidRDefault="001175FE" w:rsidP="001175FE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175FE">
              <w:rPr>
                <w:color w:val="auto"/>
                <w:sz w:val="20"/>
                <w:szCs w:val="20"/>
                <w:u w:val="none"/>
              </w:rPr>
              <w:t xml:space="preserve">Occorre fare distinzione tra i giochi leciti tradizionali (carte, calciobalilla, ping-pong, bocce, ecc.) e i giochi leciti elettronici d’azzardo di cui all’art. 110, 6° comma del TULPS. Per detta ragione di seguito si espongono i diversi aspetti regolamentari contenuti nella </w:t>
            </w:r>
            <w:r w:rsidRPr="006B5006">
              <w:rPr>
                <w:b/>
                <w:color w:val="auto"/>
                <w:sz w:val="20"/>
                <w:szCs w:val="20"/>
                <w:u w:val="none"/>
              </w:rPr>
              <w:t>parte 4^ del TUR.</w:t>
            </w:r>
          </w:p>
          <w:p w14:paraId="07086701" w14:textId="77777777" w:rsidR="001175FE" w:rsidRPr="00A30163" w:rsidRDefault="001175FE" w:rsidP="001175FE">
            <w:pPr>
              <w:ind w:left="164" w:right="312"/>
              <w:jc w:val="both"/>
              <w:rPr>
                <w:sz w:val="24"/>
                <w:szCs w:val="24"/>
                <w:u w:val="none"/>
              </w:rPr>
            </w:pPr>
          </w:p>
          <w:p w14:paraId="68645087" w14:textId="77777777" w:rsidR="001175FE" w:rsidRPr="001175FE" w:rsidRDefault="001175FE" w:rsidP="001175FE">
            <w:pPr>
              <w:spacing w:after="120"/>
              <w:ind w:left="164" w:right="312"/>
              <w:jc w:val="both"/>
              <w:rPr>
                <w:b/>
                <w:i/>
                <w:color w:val="C00000"/>
                <w:sz w:val="20"/>
                <w:szCs w:val="20"/>
                <w:u w:val="none"/>
              </w:rPr>
            </w:pPr>
            <w:r w:rsidRPr="001175FE">
              <w:rPr>
                <w:b/>
                <w:i/>
                <w:color w:val="C00000"/>
                <w:sz w:val="20"/>
                <w:szCs w:val="20"/>
                <w:u w:val="none"/>
              </w:rPr>
              <w:t>Art. 6 – Superficie di somministrazione alimenti e bevande</w:t>
            </w:r>
          </w:p>
          <w:p w14:paraId="6B72299A" w14:textId="77777777" w:rsidR="001175FE" w:rsidRPr="001175FE" w:rsidRDefault="001175FE" w:rsidP="001175FE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175FE">
              <w:rPr>
                <w:b/>
                <w:color w:val="auto"/>
                <w:sz w:val="20"/>
                <w:szCs w:val="20"/>
                <w:u w:val="none"/>
              </w:rPr>
              <w:t>Comma 2.</w:t>
            </w:r>
            <w:r w:rsidRPr="001175FE">
              <w:rPr>
                <w:color w:val="auto"/>
                <w:sz w:val="20"/>
                <w:szCs w:val="20"/>
                <w:u w:val="none"/>
              </w:rPr>
              <w:t xml:space="preserve"> In aggiunta alle eventuali disposizioni in materia, previste dalle norme tecniche di attuazione del vigente strumento urbanistico e dalle vigenti disposizioni igienico-sanitarie, ed a difesa del principio di servizio, propedeutico all’attivazione di un pubblico esercizio di somministrazione di alimenti e bevande, si dispone che in fase di verifica della sorvegliabilità, e comunque ad ogni modifica della denominazione dell’attività, venga effettuata una valutazione sul limite dimensionale minimo e massimo dell’esercizio dentro il quale dovrà essere esercitata l’attività in ragione del migliore servizio da rendere al consumatore </w:t>
            </w:r>
            <w:r w:rsidRPr="001175FE">
              <w:rPr>
                <w:b/>
                <w:color w:val="auto"/>
                <w:sz w:val="20"/>
                <w:szCs w:val="20"/>
                <w:u w:val="none"/>
              </w:rPr>
              <w:t>prescrivendo nell’autorizzazione eventuali limitazioni all’esercizio di attività complementari, all’installazione di attrazioni e/o giochi, che possano compromettere la funzionalità di cui al comma precedente.</w:t>
            </w:r>
          </w:p>
          <w:p w14:paraId="15B2DBA1" w14:textId="77777777" w:rsidR="001175FE" w:rsidRPr="001175FE" w:rsidRDefault="001175FE" w:rsidP="001175FE">
            <w:pPr>
              <w:spacing w:after="120"/>
              <w:ind w:left="164" w:right="312"/>
              <w:jc w:val="both"/>
              <w:rPr>
                <w:b/>
                <w:i/>
                <w:color w:val="C00000"/>
                <w:sz w:val="20"/>
                <w:szCs w:val="20"/>
                <w:u w:val="none"/>
              </w:rPr>
            </w:pPr>
            <w:r w:rsidRPr="001175FE">
              <w:rPr>
                <w:b/>
                <w:i/>
                <w:color w:val="C00000"/>
                <w:sz w:val="20"/>
                <w:szCs w:val="20"/>
                <w:u w:val="none"/>
              </w:rPr>
              <w:t>Art. 18 – Autorizzazione</w:t>
            </w:r>
          </w:p>
          <w:p w14:paraId="09A06B82" w14:textId="77777777" w:rsidR="001175FE" w:rsidRPr="001175FE" w:rsidRDefault="001175FE" w:rsidP="00A30163">
            <w:pPr>
              <w:spacing w:after="240"/>
              <w:ind w:left="164" w:right="312"/>
              <w:jc w:val="both"/>
              <w:rPr>
                <w:sz w:val="20"/>
                <w:szCs w:val="20"/>
                <w:u w:val="none"/>
              </w:rPr>
            </w:pPr>
            <w:r w:rsidRPr="001175FE">
              <w:rPr>
                <w:b/>
                <w:color w:val="auto"/>
                <w:sz w:val="20"/>
                <w:szCs w:val="20"/>
                <w:u w:val="none"/>
              </w:rPr>
              <w:t>Comma 2.</w:t>
            </w:r>
            <w:r w:rsidRPr="001175FE">
              <w:rPr>
                <w:color w:val="auto"/>
                <w:sz w:val="20"/>
                <w:szCs w:val="20"/>
                <w:u w:val="none"/>
              </w:rPr>
              <w:t xml:space="preserve"> Per gli effetti di cui al comma precedente, l’autorizzazione abilita l'installazione e l'uso di apparecchi radiotelevisivi ed impianti in genere per la diffusione sonora e di immagini, l’esercizio di piccoli intrattenimenti d’accompagnamento e di giochi leciti </w:t>
            </w:r>
            <w:r w:rsidRPr="001175FE">
              <w:rPr>
                <w:b/>
                <w:color w:val="auto"/>
                <w:sz w:val="20"/>
                <w:szCs w:val="20"/>
                <w:u w:val="none"/>
              </w:rPr>
              <w:t>(esclusi quelli dell’art. 110, 6° comma, TULPS),</w:t>
            </w:r>
            <w:r w:rsidRPr="001175FE">
              <w:rPr>
                <w:color w:val="auto"/>
                <w:sz w:val="20"/>
                <w:szCs w:val="20"/>
                <w:u w:val="none"/>
              </w:rPr>
              <w:t xml:space="preserve"> purché l’interessato ne faccia esplicita richiesta nell’istanza.</w:t>
            </w:r>
          </w:p>
          <w:p w14:paraId="1276C359" w14:textId="77777777" w:rsidR="001175FE" w:rsidRPr="001175FE" w:rsidRDefault="001175FE" w:rsidP="001175FE">
            <w:pPr>
              <w:pStyle w:val="NormaleWeb"/>
              <w:spacing w:before="0" w:beforeAutospacing="0" w:after="120" w:afterAutospacing="0"/>
              <w:ind w:left="164" w:right="312"/>
              <w:jc w:val="both"/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none"/>
              </w:rPr>
            </w:pPr>
            <w:r w:rsidRPr="001175FE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none"/>
              </w:rPr>
              <w:t>Art. 34 – Giochi leciti</w:t>
            </w:r>
          </w:p>
          <w:p w14:paraId="7130D989" w14:textId="77777777" w:rsidR="001175FE" w:rsidRPr="001175FE" w:rsidRDefault="001175FE" w:rsidP="001175FE">
            <w:pPr>
              <w:pStyle w:val="NormaleWeb"/>
              <w:spacing w:before="0" w:beforeAutospacing="0" w:after="12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1175FE">
                <w:rPr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1.</w:t>
              </w:r>
              <w:r w:rsidRPr="001175FE">
                <w:rPr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In</w:t>
              </w:r>
            </w:smartTag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coordinamento con il disposto dell’articolo 6, 2° comma, del presente regolamento, si dispone che l’installazione dei giochi leciti costituiti da bigliardi, calcio da tavolo, </w:t>
            </w:r>
            <w:r w:rsidRPr="001175FE">
              <w:rPr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ping-pong</w:t>
            </w:r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o altri giochi voluminosi, è consentita solo dopo l’avvenuta verifica da parte dell’amministrazione comunale sull’incidenza riduttiva della superficie di somministrazione causata dall’installazione. </w:t>
            </w:r>
          </w:p>
          <w:p w14:paraId="7A16636A" w14:textId="77777777" w:rsidR="001175FE" w:rsidRPr="001175FE" w:rsidRDefault="001175FE" w:rsidP="001175FE">
            <w:pPr>
              <w:pStyle w:val="NormaleWeb"/>
              <w:spacing w:before="0" w:beforeAutospacing="0" w:after="12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smartTag w:uri="urn:schemas-microsoft-com:office:smarttags" w:element="metricconverter">
              <w:smartTagPr>
                <w:attr w:name="ProductID" w:val="2. In"/>
              </w:smartTagPr>
              <w:r w:rsidRPr="001175FE">
                <w:rPr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2.</w:t>
              </w:r>
              <w:r w:rsidRPr="001175FE">
                <w:rPr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In</w:t>
              </w:r>
            </w:smartTag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coordinamento con il disposto dell’articolo 18, 2° comma, del presente regolamento, l’autorizzazione per l’esercizio della somministrazione di alimenti e bevande abilita l’esercizio dei giochi leciti tradizionali con esclusione dei giochi elettrici o elettronici di cui all’articolo 110, 6° comma, del TULPS. </w:t>
            </w:r>
          </w:p>
          <w:p w14:paraId="47F0C315" w14:textId="75DFFB80" w:rsidR="001175FE" w:rsidRPr="001175FE" w:rsidRDefault="001175FE" w:rsidP="001175FE">
            <w:pPr>
              <w:pStyle w:val="NormaleWeb"/>
              <w:spacing w:before="0" w:beforeAutospacing="0" w:after="12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3.</w:t>
            </w:r>
            <w:r w:rsidRPr="001175FE"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 xml:space="preserve"> </w:t>
            </w:r>
            <w:r w:rsidRPr="001175FE">
              <w:rPr>
                <w:rFonts w:ascii="Arial" w:hAnsi="Arial" w:cs="Arial"/>
                <w:color w:val="FF0000"/>
                <w:sz w:val="20"/>
                <w:szCs w:val="20"/>
                <w:u w:val="none"/>
              </w:rPr>
              <w:t>L’installazione di apparecchi elettrici ed elettronici da gioco</w:t>
            </w:r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, come definiti dall’articolo 110, 6° comma, del TULPS,</w:t>
            </w:r>
            <w:r w:rsidRPr="001175FE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1175FE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 xml:space="preserve">è limitata nel numero massimo di </w:t>
            </w:r>
            <w:r w:rsidR="00A30163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1</w:t>
            </w:r>
            <w:r w:rsidRPr="001175FE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 xml:space="preserve"> (</w:t>
            </w:r>
            <w:r w:rsidR="00A30163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uno</w:t>
            </w:r>
            <w:r w:rsidRPr="001175FE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) gioc</w:t>
            </w:r>
            <w:r w:rsidR="00A30163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o</w:t>
            </w:r>
            <w:r w:rsidRPr="001175FE">
              <w:rPr>
                <w:rFonts w:ascii="Arial" w:hAnsi="Arial" w:cs="Arial"/>
                <w:color w:val="FF0000"/>
                <w:sz w:val="20"/>
                <w:szCs w:val="20"/>
                <w:u w:val="none"/>
              </w:rPr>
              <w:t xml:space="preserve"> o numero inferiore come stabilito da decreto interdirettoriale AAMS</w:t>
            </w:r>
            <w:r w:rsidRPr="001175FE"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>.</w:t>
            </w:r>
            <w:r w:rsidRPr="001175FE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1175F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La superficie di riferimento per la determinazione numerica dei giochi è quella dedicata alla somministrazione come definita dall’articolo 3 del presente regolamento. Per installare detti giochi, si deve presentare apposita istanza al SUAP, possibilmente in via telematica con PEC, allegando copia del prescritto regolamento, nulla osta AAMS e scheda tecnica del gioco. </w:t>
            </w:r>
          </w:p>
          <w:p w14:paraId="7A78D3EB" w14:textId="77777777" w:rsidR="001175FE" w:rsidRDefault="001175FE" w:rsidP="001175FE">
            <w:p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1175FE">
              <w:rPr>
                <w:b/>
                <w:color w:val="FF0000"/>
                <w:sz w:val="20"/>
                <w:szCs w:val="20"/>
                <w:u w:val="none"/>
              </w:rPr>
              <w:t>4. E’ vietata la nuova collocazione degli apparecchi elettrici ed elettronici da gioco, di cui al comma precedente, in pubblici esercizi di somministrazione che si trovino all’interno o a una distanza inferiore al limite di 500 (cinquecento) metri, da istituti scolastici di ogni ordine e grado, luoghi di culto, impianti sportivi, strutture residenziali o semiresidenziali operanti in ambito sanitario o sociosanitario, strutture ricettive per categorie protette, luoghi di aggregazione giovanile e oratori e altri punti sensibili indicati nella componente economica-commerciale del PGT.</w:t>
            </w:r>
          </w:p>
          <w:p w14:paraId="0866CFAB" w14:textId="77777777" w:rsidR="001175FE" w:rsidRPr="002E1B6C" w:rsidRDefault="001175FE" w:rsidP="001175FE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E1B6C">
              <w:rPr>
                <w:color w:val="auto"/>
                <w:sz w:val="20"/>
                <w:szCs w:val="20"/>
                <w:u w:val="none"/>
              </w:rPr>
              <w:t xml:space="preserve">Nella programmazione economica del PGT sono indicati i punti sensibili e le relative aree di divieto di installazione degli </w:t>
            </w:r>
            <w:r w:rsidR="002E1B6C" w:rsidRPr="002E1B6C">
              <w:rPr>
                <w:color w:val="auto"/>
                <w:sz w:val="20"/>
                <w:szCs w:val="20"/>
                <w:u w:val="none"/>
              </w:rPr>
              <w:t>apparecchi</w:t>
            </w:r>
            <w:r w:rsidRPr="002E1B6C">
              <w:rPr>
                <w:color w:val="auto"/>
                <w:sz w:val="20"/>
                <w:szCs w:val="20"/>
                <w:u w:val="none"/>
              </w:rPr>
              <w:t xml:space="preserve"> elettronici </w:t>
            </w:r>
            <w:r w:rsidR="002E1B6C" w:rsidRPr="002E1B6C">
              <w:rPr>
                <w:color w:val="auto"/>
                <w:sz w:val="20"/>
                <w:szCs w:val="20"/>
                <w:u w:val="none"/>
              </w:rPr>
              <w:t>per il gioco lecito d’azzardo di cui all’art. 110, 6° comma, del TULPS.</w:t>
            </w:r>
          </w:p>
          <w:p w14:paraId="6B3978CF" w14:textId="77777777" w:rsidR="001175FE" w:rsidRPr="00A30163" w:rsidRDefault="001175FE" w:rsidP="001175FE">
            <w:pPr>
              <w:ind w:left="164" w:right="312"/>
              <w:jc w:val="both"/>
              <w:rPr>
                <w:b/>
                <w:color w:val="FF0000"/>
                <w:u w:val="none"/>
              </w:rPr>
            </w:pPr>
          </w:p>
          <w:p w14:paraId="16DC850D" w14:textId="77777777" w:rsidR="001175FE" w:rsidRPr="00A30163" w:rsidRDefault="002E1B6C" w:rsidP="002E1B6C">
            <w:pPr>
              <w:spacing w:after="120"/>
              <w:ind w:left="164"/>
              <w:jc w:val="both"/>
              <w:rPr>
                <w:b/>
                <w:color w:val="C00000"/>
                <w:u w:val="none"/>
              </w:rPr>
            </w:pPr>
            <w:r w:rsidRPr="00A30163">
              <w:rPr>
                <w:b/>
                <w:color w:val="C00000"/>
                <w:u w:val="none"/>
              </w:rPr>
              <w:t>Prescrizioni</w:t>
            </w:r>
          </w:p>
          <w:p w14:paraId="24E91446" w14:textId="77777777" w:rsid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2E1B6C">
              <w:rPr>
                <w:color w:val="000000"/>
                <w:sz w:val="20"/>
                <w:szCs w:val="20"/>
                <w:u w:val="none"/>
              </w:rPr>
              <w:t>Per esercitare giochi leciti all’interno di un esercizio di somministrazione di alimenti e bevande si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color w:val="000000"/>
                <w:sz w:val="20"/>
                <w:szCs w:val="20"/>
                <w:u w:val="none"/>
              </w:rPr>
              <w:t>devono osservare le seguenti prescrizioni:</w:t>
            </w:r>
          </w:p>
          <w:p w14:paraId="1CBB7F06" w14:textId="77777777" w:rsid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6004C87E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328C7645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2E1B6C">
              <w:rPr>
                <w:color w:val="000000"/>
                <w:sz w:val="20"/>
                <w:szCs w:val="20"/>
                <w:u w:val="none"/>
              </w:rPr>
              <w:t xml:space="preserve">1)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L'esercizio pubblico di somministrazione di alimenti e bevande non può essere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d'accesso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una sala giochi</w:t>
            </w:r>
            <w:r w:rsidRPr="002E1B6C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51A20F81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2) La tabella dei giochi proibiti deve essere tenuta esposta in luogo visibile nell'esercizio ed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in caso di installazione di bigliardi deve essere tenuto esposto anche il regolamento e la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relativa tariffa.</w:t>
            </w:r>
          </w:p>
          <w:p w14:paraId="5139AAEB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3) L’esercizio dei giochi leciti deve avvenire nel rispetto delle disposizioni speciali che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regolano la materia, nonché in osservanza dell’orario stabilito dal comune.</w:t>
            </w:r>
          </w:p>
          <w:p w14:paraId="2C5ED828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4) Nell’esercizio deve essere individuata un'unica area dedicata all'installazione degli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apparecchi per il gioco d'azzardo lecito in modo da garantire la visibilità e sorvegliabilità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da parte del gestore. Detta area, accessibile in modo da non arrecare disturbo o intralcio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agli avventori, al normale funzionamento dei locali, alla sicurezza e quiete pubblica, deve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essere chiaramente riconoscibile e delimitata con colonnine a nastro o corda.</w:t>
            </w:r>
          </w:p>
          <w:p w14:paraId="4D9747C1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5) Nella predetta area le finestre non devono essere oscurate e gli apparecchi per il gioco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d'azzardo lecito devono essere posti in posizione frontale l'uno rispetto all'altro.</w:t>
            </w:r>
          </w:p>
          <w:p w14:paraId="3FA88D0E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6) È vietata l'installazione di apparecchi per il gioco d'azzardo lecito all'esterno dei locali.</w:t>
            </w:r>
          </w:p>
          <w:p w14:paraId="4038390A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7) Su ogni apparecchio di cui all'articolo 110, comma 6, del TULPS deve essere indicata, in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modo che risulti chiaramente leggibile:</w:t>
            </w:r>
          </w:p>
          <w:p w14:paraId="47F0FE23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  <w:t xml:space="preserve">a)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la data del collegamento alle reti telematiche di cui al comma 1bis;</w:t>
            </w:r>
          </w:p>
          <w:p w14:paraId="035265D3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  <w:t xml:space="preserve">b)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la data di scadenza del contratto stipulato tra esercente e concessionario per l'utilizzo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degli apparecchi.</w:t>
            </w:r>
          </w:p>
          <w:p w14:paraId="0B1912B7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8) I gestori devono esporre all'interno dei locali, in maniera ben visibile al pubblico, il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materiale informativo reso disponibile dall’ASL, finalizzato ad evidenziare i rischi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correlati al gioco ed a segnalare la presenza sul territorio dei servizi di assistenza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accreditati per le persone con patologie correlate al gioco d'azzardo patologico, nonché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il decalogo delle azioni sul gioco sicuro e responsabile, di cui all'articolo 4, comma 3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della, </w:t>
            </w:r>
            <w:hyperlink r:id="rId6" w:history="1">
              <w:r w:rsidRPr="002E1B6C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L.R. 8/2013.</w:t>
              </w:r>
            </w:hyperlink>
          </w:p>
          <w:p w14:paraId="5BEFBFC3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9) I gestori sono tenuti a consentire l'accesso agli operatori sociali e sociosanitari dei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servizi ambulatoriali accreditati per le dipendenze, nonché ad altre figure professionali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esistenti, debitamente autorizzate dalle ASL, al fine di fornire informazioni preventive e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di offrire un sostegno di prossimità ai giocatori con possibile patologia del gioco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d'azzardo.</w:t>
            </w:r>
          </w:p>
          <w:p w14:paraId="179C7F0A" w14:textId="77777777" w:rsidR="002E1B6C" w:rsidRPr="002E1B6C" w:rsidRDefault="002E1B6C" w:rsidP="002E1B6C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10) I gestori sono tenuti ad invitare i giocatori ad effettuare il test di verifica per una rapida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valutazione del rischio di dipendenza di cui all'articolo 4, comma 3 della </w:t>
            </w:r>
            <w:proofErr w:type="spellStart"/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l.r</w:t>
            </w:r>
            <w:proofErr w:type="spellEnd"/>
            <w:r w:rsidRPr="002E1B6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. 8/2013.</w:t>
            </w:r>
          </w:p>
          <w:p w14:paraId="69C259B4" w14:textId="77777777" w:rsidR="002E1B6C" w:rsidRDefault="002E1B6C" w:rsidP="002E1B6C">
            <w:pPr>
              <w:spacing w:after="120"/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C644E04" w14:textId="46FE5D62" w:rsidR="00276654" w:rsidRPr="00057A1C" w:rsidRDefault="004F59C5" w:rsidP="00057A1C">
            <w:pPr>
              <w:ind w:left="164"/>
              <w:rPr>
                <w:bCs/>
                <w:color w:val="auto"/>
                <w:sz w:val="20"/>
                <w:szCs w:val="20"/>
                <w:u w:val="none"/>
              </w:rPr>
            </w:pPr>
            <w:r w:rsidRPr="00A30163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  <w:r w:rsidR="00057A1C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057A1C" w:rsidRPr="00057A1C">
              <w:rPr>
                <w:rStyle w:val="Collegamentoipertestuale"/>
                <w:b/>
                <w:color w:val="C00000"/>
                <w:u w:val="none"/>
              </w:rPr>
              <w:t xml:space="preserve">– </w:t>
            </w:r>
            <w:r w:rsidR="00057A1C" w:rsidRPr="00057A1C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SCIA Condizionata con autorizzazione somministrazione</w:t>
            </w:r>
          </w:p>
          <w:p w14:paraId="3C49DB6D" w14:textId="77777777" w:rsidR="00057A1C" w:rsidRDefault="00057A1C" w:rsidP="00057A1C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B6A8257" w14:textId="31BCEEE1" w:rsidR="00A30163" w:rsidRPr="00A960D3" w:rsidRDefault="00A30163" w:rsidP="00A3016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B500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"Definizioni/14PE%20Tariffe%20somministrazione.docx"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50171C52" w14:textId="77777777" w:rsidR="00A30163" w:rsidRDefault="00A30163" w:rsidP="00A3016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1A65207" w14:textId="77777777" w:rsidR="00A30163" w:rsidRPr="00042B0E" w:rsidRDefault="00A30163" w:rsidP="00A30163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04A5A107" w14:textId="77777777" w:rsidR="00A30163" w:rsidRPr="00042B0E" w:rsidRDefault="00A30163" w:rsidP="00A30163">
            <w:pPr>
              <w:pStyle w:val="Paragrafoelenco"/>
              <w:ind w:left="164"/>
              <w:rPr>
                <w:b/>
                <w:color w:val="auto"/>
                <w:sz w:val="20"/>
                <w:szCs w:val="20"/>
                <w:u w:val="none"/>
              </w:rPr>
            </w:pPr>
            <w:r w:rsidRPr="00042B0E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–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l’attività può essere iniziata ad ottenimento della prescritta autorizzazione.</w:t>
            </w:r>
          </w:p>
          <w:p w14:paraId="088D81D2" w14:textId="77777777" w:rsidR="00A30163" w:rsidRPr="00A30163" w:rsidRDefault="00A30163" w:rsidP="00A30163">
            <w:pPr>
              <w:pStyle w:val="Rientrocorpodeltesto"/>
              <w:spacing w:after="0"/>
              <w:ind w:left="164"/>
              <w:jc w:val="both"/>
              <w:rPr>
                <w:color w:val="auto"/>
              </w:rPr>
            </w:pPr>
          </w:p>
          <w:p w14:paraId="664E5903" w14:textId="24771C83" w:rsidR="00945B26" w:rsidRPr="00A30163" w:rsidRDefault="00676AD5" w:rsidP="002E1B6C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hyperlink r:id="rId7" w:history="1">
              <w:r w:rsidR="002A6285" w:rsidRPr="00A30163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A30163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A30163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945B26" w:rsidRPr="00A30163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</w:p>
          <w:p w14:paraId="66B9AFA4" w14:textId="77777777" w:rsidR="002E1B6C" w:rsidRPr="005D49AD" w:rsidRDefault="00676AD5" w:rsidP="002E1B6C">
            <w:pPr>
              <w:widowControl w:val="0"/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hyperlink r:id="rId8" w:history="1">
              <w:r w:rsidR="002E1B6C" w:rsidRPr="005D49AD">
                <w:rPr>
                  <w:rStyle w:val="Collegamentoipertestuale"/>
                  <w:b/>
                  <w:sz w:val="20"/>
                  <w:szCs w:val="20"/>
                  <w:u w:val="none"/>
                </w:rPr>
                <w:t>Legge Regionale 21 ottobre 2013, n. 8</w:t>
              </w:r>
            </w:hyperlink>
            <w:r w:rsidR="002E1B6C" w:rsidRPr="005D49AD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 - </w:t>
            </w:r>
            <w:r w:rsidR="002E1B6C" w:rsidRPr="005D49AD">
              <w:rPr>
                <w:bCs/>
                <w:color w:val="000000"/>
                <w:sz w:val="20"/>
                <w:szCs w:val="20"/>
                <w:u w:val="none"/>
              </w:rPr>
              <w:t>Norme per la prevenzione e il trattamento del gioco d'azzardo patologico</w:t>
            </w:r>
          </w:p>
          <w:p w14:paraId="7C940176" w14:textId="77777777" w:rsidR="002E1B6C" w:rsidRPr="005D49AD" w:rsidRDefault="002E1B6C" w:rsidP="002E1B6C">
            <w:pPr>
              <w:ind w:left="164" w:right="312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</w:p>
          <w:p w14:paraId="550918BB" w14:textId="77777777" w:rsidR="002E1B6C" w:rsidRPr="005D49AD" w:rsidRDefault="00676AD5" w:rsidP="002E1B6C">
            <w:pPr>
              <w:widowControl w:val="0"/>
              <w:autoSpaceDE w:val="0"/>
              <w:autoSpaceDN w:val="0"/>
              <w:adjustRightInd w:val="0"/>
              <w:ind w:left="164" w:right="312"/>
              <w:jc w:val="both"/>
              <w:rPr>
                <w:bCs/>
                <w:color w:val="000000"/>
                <w:sz w:val="20"/>
                <w:szCs w:val="20"/>
                <w:u w:val="none"/>
              </w:rPr>
            </w:pPr>
            <w:hyperlink r:id="rId9" w:history="1">
              <w:r w:rsidR="002E1B6C" w:rsidRPr="005D49AD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Reg. Regionale n. 5 del 2014 -</w:t>
              </w:r>
            </w:hyperlink>
            <w:r w:rsidR="002E1B6C" w:rsidRPr="005D49AD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2E1B6C" w:rsidRPr="005D49AD">
              <w:rPr>
                <w:bCs/>
                <w:color w:val="000000"/>
                <w:sz w:val="20"/>
                <w:szCs w:val="20"/>
                <w:u w:val="none"/>
              </w:rPr>
              <w:t xml:space="preserve">Regolamento per l'accesso alle aree e ai locali per il gioco d'azzardo lecito, in attuazione dell'art. 4, comma 10, della </w:t>
            </w:r>
            <w:proofErr w:type="spellStart"/>
            <w:r w:rsidR="002E1B6C" w:rsidRPr="005D49AD">
              <w:rPr>
                <w:bCs/>
                <w:color w:val="000000"/>
                <w:sz w:val="20"/>
                <w:szCs w:val="20"/>
                <w:u w:val="none"/>
              </w:rPr>
              <w:t>l.r</w:t>
            </w:r>
            <w:proofErr w:type="spellEnd"/>
            <w:r w:rsidR="002E1B6C" w:rsidRPr="005D49AD">
              <w:rPr>
                <w:bCs/>
                <w:color w:val="000000"/>
                <w:sz w:val="20"/>
                <w:szCs w:val="20"/>
                <w:u w:val="none"/>
              </w:rPr>
              <w:t>. 21 ottobre 2013, n. 8</w:t>
            </w:r>
          </w:p>
          <w:p w14:paraId="5906AA5B" w14:textId="77777777" w:rsidR="002E1B6C" w:rsidRPr="00945B26" w:rsidRDefault="002E1B6C" w:rsidP="00945B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</w:p>
          <w:p w14:paraId="2EDF76FF" w14:textId="77777777" w:rsidR="00F36AA1" w:rsidRDefault="00676AD5" w:rsidP="00F36AA1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0" w:history="1">
              <w:r w:rsidR="00F36AA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4DE4E57C" w14:textId="61449F82" w:rsidR="00F36AA1" w:rsidRDefault="00676AD5" w:rsidP="00F36AA1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1" w:history="1">
              <w:r w:rsidR="00F36AA1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6FC23887" w14:textId="77777777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C0094D4" w14:textId="5F522F3C" w:rsidR="00507523" w:rsidRPr="005D49AD" w:rsidRDefault="0041512A" w:rsidP="00057A1C">
            <w:pPr>
              <w:pStyle w:val="Paragrafoelenco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057A1C">
              <w:rPr>
                <w:b/>
                <w:color w:val="C00000"/>
                <w:u w:val="none"/>
              </w:rPr>
              <w:t>Note</w:t>
            </w:r>
            <w:r w:rsidR="00945B26" w:rsidRPr="00057A1C">
              <w:rPr>
                <w:b/>
                <w:color w:val="C00000"/>
                <w:u w:val="none"/>
              </w:rPr>
              <w:t>:</w:t>
            </w:r>
            <w:r w:rsidR="00945B26" w:rsidRPr="00057A1C">
              <w:rPr>
                <w:color w:val="C00000"/>
                <w:u w:val="none"/>
              </w:rPr>
              <w:t xml:space="preserve"> </w:t>
            </w:r>
            <w:r w:rsidR="00507523" w:rsidRPr="005D49AD">
              <w:rPr>
                <w:b/>
                <w:color w:val="auto"/>
                <w:sz w:val="20"/>
                <w:szCs w:val="20"/>
                <w:u w:val="none"/>
              </w:rPr>
              <w:t xml:space="preserve">Avvisi ATS da esporre presso gli esercizi pubblici che hanno installato giochi elettronici di cui all’articolo 110, 6° comma, del TULPS    </w:t>
            </w:r>
          </w:p>
          <w:p w14:paraId="4D5A64BA" w14:textId="77777777" w:rsidR="00507523" w:rsidRDefault="00507523" w:rsidP="00507523">
            <w:pPr>
              <w:autoSpaceDE w:val="0"/>
              <w:autoSpaceDN w:val="0"/>
              <w:adjustRightInd w:val="0"/>
              <w:ind w:left="731" w:right="312"/>
              <w:jc w:val="both"/>
              <w:rPr>
                <w:sz w:val="24"/>
                <w:szCs w:val="24"/>
              </w:rPr>
            </w:pPr>
          </w:p>
          <w:p w14:paraId="1FD71A00" w14:textId="20D63491" w:rsidR="00507523" w:rsidRPr="00507523" w:rsidRDefault="00507523" w:rsidP="00507523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</w:rPr>
              <w:fldChar w:fldCharType="begin"/>
            </w:r>
            <w:r w:rsidR="00F36AA1">
              <w:rPr>
                <w:rStyle w:val="Collegamentoipertestuale"/>
                <w:b/>
                <w:color w:val="C00000"/>
                <w:sz w:val="24"/>
                <w:szCs w:val="24"/>
              </w:rPr>
              <w:instrText>HYPERLINK "https://www.ats-milano.it/portale/Ats/Carta-dei-Servizi/Guida-ai-servizi/GAP"</w:instrText>
            </w:r>
            <w:r>
              <w:rPr>
                <w:rStyle w:val="Collegamentoipertestuale"/>
                <w:b/>
                <w:color w:val="C00000"/>
                <w:sz w:val="24"/>
                <w:szCs w:val="24"/>
              </w:rPr>
              <w:fldChar w:fldCharType="separate"/>
            </w:r>
            <w:r w:rsidRPr="00507523">
              <w:rPr>
                <w:rStyle w:val="Collegamentoipertestuale"/>
                <w:b/>
                <w:sz w:val="24"/>
                <w:szCs w:val="24"/>
              </w:rPr>
              <w:t>Informativa ATS</w:t>
            </w:r>
          </w:p>
          <w:p w14:paraId="1A0D3118" w14:textId="77777777" w:rsidR="00507523" w:rsidRPr="00CD2820" w:rsidRDefault="00507523" w:rsidP="00507523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</w:rPr>
              <w:fldChar w:fldCharType="end"/>
            </w:r>
          </w:p>
          <w:p w14:paraId="072116F3" w14:textId="7EDDFF81" w:rsidR="00507523" w:rsidRPr="006B5006" w:rsidRDefault="006B5006" w:rsidP="00507523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"Modulistica/divieto-di-gioco-ai-minori.jpg"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523" w:rsidRPr="006B5006">
              <w:rPr>
                <w:rStyle w:val="Collegamentoipertestuale"/>
                <w:b/>
                <w:sz w:val="24"/>
                <w:szCs w:val="24"/>
              </w:rPr>
              <w:t>Divieto ai minori 18 anni</w:t>
            </w:r>
          </w:p>
          <w:p w14:paraId="1B7A28B8" w14:textId="3A78CE30" w:rsidR="00507523" w:rsidRPr="00CD2820" w:rsidRDefault="006B5006" w:rsidP="00507523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878D66A" w14:textId="7FB4D434" w:rsidR="00507523" w:rsidRPr="00AC0792" w:rsidRDefault="00676AD5" w:rsidP="00507523">
            <w:pPr>
              <w:pStyle w:val="Paragrafoelenco"/>
              <w:spacing w:after="120"/>
              <w:ind w:left="731" w:right="312"/>
              <w:jc w:val="both"/>
              <w:rPr>
                <w:b/>
                <w:color w:val="0000FF"/>
                <w:sz w:val="24"/>
                <w:szCs w:val="24"/>
                <w:u w:val="none"/>
              </w:rPr>
            </w:pPr>
            <w:hyperlink r:id="rId12" w:history="1">
              <w:r w:rsidR="00507523" w:rsidRPr="00AC0792">
                <w:rPr>
                  <w:rStyle w:val="Collegamentoipertestuale"/>
                  <w:b/>
                  <w:sz w:val="24"/>
                  <w:szCs w:val="24"/>
                </w:rPr>
                <w:t>Divieto accesso ai minori 18 anni</w:t>
              </w:r>
            </w:hyperlink>
          </w:p>
        </w:tc>
      </w:tr>
    </w:tbl>
    <w:p w14:paraId="6BE3C17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6682206"/>
    <w:multiLevelType w:val="hybridMultilevel"/>
    <w:tmpl w:val="A34E76D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57A1C"/>
    <w:rsid w:val="000E4B7E"/>
    <w:rsid w:val="000F3ADF"/>
    <w:rsid w:val="00112873"/>
    <w:rsid w:val="001175FE"/>
    <w:rsid w:val="00117F1E"/>
    <w:rsid w:val="002210DE"/>
    <w:rsid w:val="0023487B"/>
    <w:rsid w:val="00276654"/>
    <w:rsid w:val="002A5D7C"/>
    <w:rsid w:val="002A6285"/>
    <w:rsid w:val="002B375D"/>
    <w:rsid w:val="002E1B6C"/>
    <w:rsid w:val="00312CD6"/>
    <w:rsid w:val="00342D58"/>
    <w:rsid w:val="0035412D"/>
    <w:rsid w:val="003A4A32"/>
    <w:rsid w:val="003C5FBA"/>
    <w:rsid w:val="0041512A"/>
    <w:rsid w:val="004257E1"/>
    <w:rsid w:val="0044342C"/>
    <w:rsid w:val="0045341A"/>
    <w:rsid w:val="004704B5"/>
    <w:rsid w:val="00493BD0"/>
    <w:rsid w:val="004C2CCD"/>
    <w:rsid w:val="004F3CF0"/>
    <w:rsid w:val="004F59C5"/>
    <w:rsid w:val="004F667B"/>
    <w:rsid w:val="00506E58"/>
    <w:rsid w:val="00507523"/>
    <w:rsid w:val="005930C1"/>
    <w:rsid w:val="005A1687"/>
    <w:rsid w:val="005C68B2"/>
    <w:rsid w:val="005C720B"/>
    <w:rsid w:val="0060153A"/>
    <w:rsid w:val="00621A5C"/>
    <w:rsid w:val="00651378"/>
    <w:rsid w:val="00676AD5"/>
    <w:rsid w:val="00692827"/>
    <w:rsid w:val="006B29D2"/>
    <w:rsid w:val="006B3A13"/>
    <w:rsid w:val="006B5006"/>
    <w:rsid w:val="006C7151"/>
    <w:rsid w:val="00705665"/>
    <w:rsid w:val="00737DA2"/>
    <w:rsid w:val="00746376"/>
    <w:rsid w:val="00756CD6"/>
    <w:rsid w:val="00793EF7"/>
    <w:rsid w:val="007A5A49"/>
    <w:rsid w:val="007D4E71"/>
    <w:rsid w:val="008220D1"/>
    <w:rsid w:val="0082478D"/>
    <w:rsid w:val="00864E95"/>
    <w:rsid w:val="00897F79"/>
    <w:rsid w:val="008C7907"/>
    <w:rsid w:val="008D166C"/>
    <w:rsid w:val="00945B26"/>
    <w:rsid w:val="009A4645"/>
    <w:rsid w:val="009B1F91"/>
    <w:rsid w:val="00A06B50"/>
    <w:rsid w:val="00A30163"/>
    <w:rsid w:val="00AC0792"/>
    <w:rsid w:val="00B0731C"/>
    <w:rsid w:val="00B40ED6"/>
    <w:rsid w:val="00B66F7C"/>
    <w:rsid w:val="00B7169A"/>
    <w:rsid w:val="00BA5021"/>
    <w:rsid w:val="00BD6669"/>
    <w:rsid w:val="00BF42AE"/>
    <w:rsid w:val="00C402CE"/>
    <w:rsid w:val="00C75D34"/>
    <w:rsid w:val="00CD592E"/>
    <w:rsid w:val="00D16B5E"/>
    <w:rsid w:val="00DC5DC3"/>
    <w:rsid w:val="00DF0435"/>
    <w:rsid w:val="00DF28C0"/>
    <w:rsid w:val="00E0084E"/>
    <w:rsid w:val="00E25843"/>
    <w:rsid w:val="00E660BB"/>
    <w:rsid w:val="00EB1403"/>
    <w:rsid w:val="00EE371A"/>
    <w:rsid w:val="00F312D0"/>
    <w:rsid w:val="00F33A15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2997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styleId="NormaleWeb">
    <w:name w:val="Normal (Web)"/>
    <w:basedOn w:val="Normale"/>
    <w:unhideWhenUsed/>
    <w:rsid w:val="0011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elombardia.consiglio.regione.lombardia.it/NormeLombardia/Accessibile/main.aspx?exp_coll=lr002013102100008&amp;view=showdoc&amp;iddoc=lr002013102100008&amp;selnode=lr002013102100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Definizioni\Riferimenti%20normativi%20e%20di%20controllo.docx" TargetMode="External"/><Relationship Id="rId12" Type="http://schemas.openxmlformats.org/officeDocument/2006/relationships/hyperlink" Target="Modulistica/cartello-divieto-daccesso-ai-minor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melombardia.consiglio.regione.lombardia.it/NormeLombardia/Accessibile/main.aspx?exp_coll=lr002013102100008&amp;view=showdoc&amp;iddoc=lr002013102100008&amp;selnode=lr002013102100008" TargetMode="External"/><Relationship Id="rId11" Type="http://schemas.openxmlformats.org/officeDocument/2006/relationships/hyperlink" Target="https://www.tuttocamere.it/files/psicurezza/1940_635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https://www.tuttocamere.it/files/psicurezza/1931_77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main.aspx?exp_coll=rr002014121600005&amp;view=showdoc&amp;iddoc=rr002014121600005&amp;selnode=rr0020141216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2018-07-25T21:14:00Z</dcterms:created>
  <dcterms:modified xsi:type="dcterms:W3CDTF">2021-05-09T22:17:00Z</dcterms:modified>
</cp:coreProperties>
</file>